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w:t>
      </w:r>
      <w:r>
        <w:tab/>
      </w:r>
      <w:r>
        <w:rPr>
          <w:lang w:eastAsia="ja-JP"/>
        </w:rPr>
        <w:t>R3-2</w:t>
      </w:r>
      <w:r>
        <w:rPr>
          <w:rFonts w:hint="eastAsia" w:eastAsia="宋体"/>
          <w:lang w:val="en-US" w:eastAsia="zh-CN"/>
        </w:rPr>
        <w:t>55262</w:t>
      </w:r>
    </w:p>
    <w:bookmarkEnd w:id="0"/>
    <w:p>
      <w:pPr>
        <w:pStyle w:val="121"/>
        <w:rPr>
          <w:rFonts w:hint="eastAsia" w:eastAsia="宋体"/>
          <w:szCs w:val="24"/>
          <w:lang w:val="en-US" w:eastAsia="zh-CN"/>
        </w:rPr>
      </w:pPr>
      <w:bookmarkStart w:id="2" w:name="_Hlk19781143"/>
      <w:r>
        <w:rPr>
          <w:rFonts w:hint="eastAsia" w:eastAsia="宋体"/>
          <w:szCs w:val="24"/>
          <w:lang w:val="en-US" w:eastAsia="zh-CN"/>
        </w:rPr>
        <w:t>Bengaluru, India, 25 - 29 August 2025</w:t>
      </w:r>
    </w:p>
    <w:bookmarkEnd w:id="2"/>
    <w:p>
      <w:pPr>
        <w:pStyle w:val="35"/>
        <w:rPr>
          <w:rFonts w:cs="Arial"/>
          <w:bCs/>
          <w:sz w:val="24"/>
          <w:lang w:eastAsia="ja-JP"/>
        </w:rPr>
      </w:pPr>
    </w:p>
    <w:p>
      <w:pPr>
        <w:pStyle w:val="92"/>
        <w:rPr>
          <w:rFonts w:hint="default" w:eastAsia="宋体"/>
          <w:lang w:val="en-US" w:eastAsia="zh-CN"/>
        </w:rPr>
      </w:pPr>
      <w:r>
        <w:t>Agenda Item:</w:t>
      </w:r>
      <w:r>
        <w:tab/>
      </w:r>
      <w:r>
        <w:rPr>
          <w:rFonts w:hint="eastAsia" w:eastAsia="宋体"/>
          <w:lang w:val="en-US" w:eastAsia="zh-CN"/>
        </w:rPr>
        <w:t>14.3</w:t>
      </w:r>
    </w:p>
    <w:p>
      <w:pPr>
        <w:pStyle w:val="92"/>
        <w:rPr>
          <w:rFonts w:hint="default" w:eastAsia="宋体"/>
          <w:lang w:val="en-US" w:eastAsia="zh-CN"/>
        </w:rPr>
      </w:pPr>
      <w:r>
        <w:t>Source:</w:t>
      </w:r>
      <w:r>
        <w:tab/>
      </w:r>
      <w:r>
        <w:rPr>
          <w:rFonts w:hint="eastAsia" w:eastAsia="宋体"/>
          <w:lang w:val="en-US" w:eastAsia="zh-CN"/>
        </w:rPr>
        <w:t>ZTE Corporation</w:t>
      </w:r>
    </w:p>
    <w:p>
      <w:pPr>
        <w:pStyle w:val="92"/>
        <w:ind w:left="1985" w:hanging="1985"/>
        <w:rPr>
          <w:rFonts w:hint="default"/>
          <w:lang w:val="en-US" w:eastAsia="ja-JP"/>
        </w:rPr>
      </w:pPr>
      <w:r>
        <w:t>Title:</w:t>
      </w:r>
      <w:r>
        <w:tab/>
      </w:r>
      <w:r>
        <w:rPr>
          <w:rFonts w:hint="eastAsia" w:eastAsia="宋体"/>
          <w:lang w:val="en-US" w:eastAsia="zh-CN"/>
        </w:rPr>
        <w:t>Remaining issues for NR NTN</w:t>
      </w:r>
    </w:p>
    <w:p>
      <w:pPr>
        <w:pStyle w:val="92"/>
        <w:rPr>
          <w:rFonts w:hint="eastAsia" w:eastAsia="宋体"/>
          <w:lang w:val="en-US" w:eastAsia="zh-CN"/>
        </w:rPr>
      </w:pPr>
      <w:r>
        <w:t>Document for:</w:t>
      </w:r>
      <w:r>
        <w:tab/>
      </w:r>
      <w:r>
        <w:t>Discussio</w:t>
      </w:r>
      <w:r>
        <w:rPr>
          <w:rFonts w:hint="eastAsia" w:eastAsia="宋体"/>
          <w:lang w:val="en-US" w:eastAsia="zh-CN"/>
        </w:rPr>
        <w:t>n</w:t>
      </w:r>
    </w:p>
    <w:p>
      <w:pPr>
        <w:pStyle w:val="3"/>
        <w:bidi w:val="0"/>
      </w:pPr>
      <w:r>
        <w:rPr>
          <w:rFonts w:hint="eastAsia" w:eastAsia="宋体"/>
          <w:lang w:val="en-US" w:eastAsia="zh-CN"/>
        </w:rPr>
        <w:t xml:space="preserve">1  </w:t>
      </w:r>
      <w:r>
        <w:t>Introduction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previous meetings, the discussion on support of regenerative payload was discussed, and the following agreements were reached[1].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NG Interface management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Option 2 NG Removal/Setup can be used for Regenerative Payload NG interface management.</w:t>
            </w:r>
          </w:p>
          <w:p>
            <w:pPr>
              <w:rPr>
                <w:rFonts w:ascii="Calibri" w:hAnsi="Calibri" w:eastAsia="MS Mincho" w:cs="Calibri"/>
                <w:i/>
                <w:iCs/>
                <w:color w:val="FF0000"/>
                <w:kern w:val="2"/>
                <w:sz w:val="16"/>
                <w:szCs w:val="16"/>
                <w:lang w:val="en-GB" w:eastAsia="en-US" w:bidi="ar-SA"/>
              </w:rPr>
            </w:pPr>
            <w:r>
              <w:rPr>
                <w:rFonts w:ascii="Calibri" w:hAnsi="Calibri" w:eastAsia="MS Mincho" w:cs="Calibri"/>
                <w:i/>
                <w:iCs/>
                <w:color w:val="FF0000"/>
                <w:kern w:val="2"/>
                <w:sz w:val="16"/>
                <w:szCs w:val="16"/>
                <w:lang w:val="en-GB" w:eastAsia="en-US" w:bidi="ar-SA"/>
              </w:rPr>
              <w:t>No new NGAP suspend/resume procedures in R19.</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Inactive UE support:</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pPr>
              <w:pStyle w:val="2"/>
              <w:rPr>
                <w:rFonts w:ascii="Calibri" w:hAnsi="Calibri" w:eastAsia="MS Mincho" w:cs="Calibri"/>
                <w:i/>
                <w:iCs/>
                <w:color w:val="FF0000"/>
                <w:kern w:val="2"/>
                <w:sz w:val="16"/>
                <w:szCs w:val="16"/>
                <w:lang w:val="en-GB" w:eastAsia="en-US" w:bidi="ar-SA"/>
              </w:rPr>
            </w:pPr>
            <w:r>
              <w:rPr>
                <w:rFonts w:ascii="Calibri" w:hAnsi="Calibri" w:eastAsia="MS Mincho" w:cs="Calibri"/>
                <w:i/>
                <w:iCs/>
                <w:color w:val="FF0000"/>
                <w:kern w:val="2"/>
                <w:sz w:val="16"/>
                <w:szCs w:val="16"/>
                <w:lang w:val="en-GB" w:eastAsia="en-US" w:bidi="ar-SA"/>
              </w:rPr>
              <w:t>Support RRC_INACTIVE UE in NTN by implementation in R19.</w:t>
            </w:r>
          </w:p>
          <w:p>
            <w:pPr>
              <w:rPr>
                <w:rFonts w:ascii="Calibri" w:hAnsi="Calibri" w:eastAsia="MS Mincho" w:cs="Calibri"/>
                <w:i/>
                <w:iCs/>
                <w:color w:val="auto"/>
                <w:kern w:val="2"/>
                <w:sz w:val="16"/>
                <w:szCs w:val="16"/>
                <w:u w:val="single"/>
              </w:rPr>
            </w:pPr>
            <w:r>
              <w:rPr>
                <w:rFonts w:ascii="Calibri" w:hAnsi="Calibri" w:eastAsia="MS Mincho" w:cs="Calibri"/>
                <w:i/>
                <w:iCs/>
                <w:color w:val="auto"/>
                <w:kern w:val="2"/>
                <w:sz w:val="16"/>
                <w:szCs w:val="16"/>
                <w:u w:val="single"/>
              </w:rPr>
              <w:t>Feeder link switch issue:</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assumes that during the feeder link switch, AMF is not changed for the UEs. Whether there has any standard impact needs to be further checked.</w:t>
            </w:r>
          </w:p>
          <w:p>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The current mechanisms including, e.g. multiple TNLA association, are sufficient for TNL management during feeder link switch. </w:t>
            </w:r>
          </w:p>
          <w:p>
            <w:pPr>
              <w:pStyle w:val="2"/>
              <w:rPr>
                <w:rFonts w:ascii="Calibri" w:hAnsi="Calibri" w:eastAsia="MS Mincho" w:cs="Calibri"/>
                <w:i/>
                <w:iCs/>
                <w:color w:val="00B050"/>
                <w:kern w:val="2"/>
                <w:sz w:val="16"/>
                <w:szCs w:val="16"/>
                <w:lang w:val="en-GB" w:eastAsia="en-US" w:bidi="ar-SA"/>
              </w:rPr>
            </w:pPr>
            <w:r>
              <w:rPr>
                <w:rFonts w:hint="eastAsia" w:ascii="Calibri" w:hAnsi="Calibri" w:eastAsia="MS Mincho" w:cs="Calibri"/>
                <w:i/>
                <w:iCs/>
                <w:color w:val="00B050"/>
                <w:kern w:val="2"/>
                <w:sz w:val="16"/>
                <w:szCs w:val="16"/>
                <w:lang w:val="en-US" w:eastAsia="zh-CN" w:bidi="ar-SA"/>
              </w:rPr>
              <w:t>I</w:t>
            </w:r>
            <w:r>
              <w:rPr>
                <w:rFonts w:ascii="Calibri" w:hAnsi="Calibri" w:eastAsia="MS Mincho" w:cs="Calibri"/>
                <w:i/>
                <w:iCs/>
                <w:color w:val="00B050"/>
                <w:kern w:val="2"/>
                <w:sz w:val="16"/>
                <w:szCs w:val="16"/>
                <w:lang w:val="en-GB" w:eastAsia="en-US" w:bidi="ar-SA"/>
              </w:rPr>
              <w:t>n case of the TNL addresses are changed due to feeder link switch over, existing procedures may be used.</w:t>
            </w:r>
          </w:p>
          <w:p>
            <w:pPr>
              <w:pStyle w:val="2"/>
              <w:rPr>
                <w:rFonts w:ascii="Calibri" w:hAnsi="Calibri" w:eastAsia="MS Mincho" w:cs="Calibri"/>
                <w:i/>
                <w:iCs/>
                <w:color w:val="0070C0"/>
                <w:kern w:val="2"/>
                <w:sz w:val="16"/>
                <w:szCs w:val="16"/>
                <w:lang w:val="en-GB" w:eastAsia="en-US" w:bidi="ar-SA"/>
              </w:rPr>
            </w:pPr>
            <w:r>
              <w:rPr>
                <w:rFonts w:ascii="Calibri" w:hAnsi="Calibri" w:eastAsia="MS Mincho" w:cs="Calibri"/>
                <w:i/>
                <w:iCs/>
                <w:color w:val="0070C0"/>
                <w:kern w:val="2"/>
                <w:sz w:val="16"/>
                <w:szCs w:val="16"/>
                <w:lang w:val="en-GB" w:eastAsia="en-US" w:bidi="ar-SA"/>
              </w:rPr>
              <w:t>Further check the functionality: in case of hard feeder link switch over, the 5GC suspends or resumes the DL signalling/data transmission(s) to the gNB based on the new indicator in RAN configuration update, FFS on the relationship with respect to NG suspend/resume (if any).</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WA: For regenerative payload, an indication to suspend or resume</w:t>
            </w:r>
            <w:r>
              <w:rPr>
                <w:rFonts w:hint="eastAsia" w:ascii="Calibri" w:hAnsi="Calibri" w:eastAsia="MS Mincho" w:cs="Calibri"/>
                <w:i/>
                <w:iCs/>
                <w:color w:val="00B050"/>
                <w:kern w:val="2"/>
                <w:sz w:val="16"/>
                <w:szCs w:val="16"/>
                <w:lang w:eastAsia="en-US"/>
              </w:rPr>
              <w:t xml:space="preserve"> NG connection</w:t>
            </w:r>
            <w:r>
              <w:rPr>
                <w:rFonts w:ascii="Calibri" w:hAnsi="Calibri" w:eastAsia="MS Mincho" w:cs="Calibri"/>
                <w:i/>
                <w:iCs/>
                <w:color w:val="00B050"/>
                <w:kern w:val="2"/>
                <w:sz w:val="16"/>
                <w:szCs w:val="16"/>
                <w:lang w:eastAsia="en-US"/>
              </w:rPr>
              <w:t xml:space="preserve"> may be sent to AMF from gNB in the RAN Configuration Update procedure.</w:t>
            </w:r>
          </w:p>
          <w:p>
            <w:pPr>
              <w:pStyle w:val="2"/>
              <w:rPr>
                <w:rFonts w:ascii="Calibri" w:hAnsi="Calibri" w:eastAsia="MS Mincho" w:cs="Calibri"/>
                <w:i/>
                <w:iCs/>
                <w:color w:val="0070C0"/>
                <w:kern w:val="2"/>
                <w:sz w:val="16"/>
                <w:szCs w:val="16"/>
                <w:lang w:val="en-GB" w:eastAsia="en-US" w:bidi="ar-SA"/>
              </w:rPr>
            </w:pPr>
            <w:r>
              <w:rPr>
                <w:rFonts w:ascii="Calibri" w:hAnsi="Calibri" w:eastAsia="MS Mincho" w:cs="Calibri"/>
                <w:i/>
                <w:iCs/>
                <w:color w:val="0070C0"/>
                <w:kern w:val="2"/>
                <w:sz w:val="16"/>
                <w:szCs w:val="16"/>
                <w:lang w:val="en-GB" w:eastAsia="en-US" w:bidi="ar-SA"/>
              </w:rPr>
              <w:t>Check the use cases including Hard Feederlink Switch, other use cases to be further justified.</w:t>
            </w:r>
          </w:p>
          <w:p>
            <w:pPr>
              <w:rPr>
                <w:rFonts w:hint="eastAsia" w:ascii="Calibri" w:hAnsi="Calibri" w:eastAsia="宋体" w:cs="Calibri"/>
                <w:i/>
                <w:iCs/>
                <w:color w:val="auto"/>
                <w:kern w:val="2"/>
                <w:sz w:val="16"/>
                <w:szCs w:val="16"/>
                <w:u w:val="single"/>
                <w:lang w:val="en-US" w:eastAsia="zh-CN"/>
              </w:rPr>
            </w:pPr>
            <w:r>
              <w:rPr>
                <w:rFonts w:ascii="Calibri" w:hAnsi="Calibri" w:eastAsia="MS Mincho" w:cs="Calibri"/>
                <w:i/>
                <w:iCs/>
                <w:color w:val="auto"/>
                <w:kern w:val="2"/>
                <w:sz w:val="16"/>
                <w:szCs w:val="16"/>
                <w:u w:val="single"/>
              </w:rPr>
              <w:t>Supported TAI list of the on-board gNB</w:t>
            </w:r>
            <w:r>
              <w:rPr>
                <w:rFonts w:hint="eastAsia" w:ascii="Calibri" w:hAnsi="Calibri" w:eastAsia="宋体" w:cs="Calibri"/>
                <w:i/>
                <w:iCs/>
                <w:color w:val="auto"/>
                <w:kern w:val="2"/>
                <w:sz w:val="16"/>
                <w:szCs w:val="16"/>
                <w:u w:val="single"/>
                <w:lang w:val="en-US" w:eastAsia="zh-CN"/>
              </w:rPr>
              <w:t>:</w:t>
            </w:r>
          </w:p>
          <w:p>
            <w:pPr>
              <w:pStyle w:val="2"/>
              <w:rPr>
                <w:rFonts w:ascii="Calibri" w:hAnsi="Calibri" w:eastAsia="MS Mincho" w:cs="Calibri"/>
                <w:i/>
                <w:iCs/>
                <w:color w:val="0070C0"/>
                <w:kern w:val="2"/>
                <w:sz w:val="16"/>
                <w:szCs w:val="16"/>
                <w:lang w:val="en-GB" w:eastAsia="en-US" w:bidi="ar-SA"/>
              </w:rPr>
            </w:pPr>
            <w:r>
              <w:rPr>
                <w:rFonts w:hint="eastAsia" w:ascii="Calibri" w:hAnsi="Calibri" w:eastAsia="MS Mincho" w:cs="Calibri"/>
                <w:i/>
                <w:iCs/>
                <w:color w:val="00B050"/>
                <w:kern w:val="2"/>
                <w:sz w:val="16"/>
                <w:szCs w:val="16"/>
                <w:lang w:eastAsia="en-US"/>
              </w:rPr>
              <w:t>T</w:t>
            </w:r>
            <w:r>
              <w:rPr>
                <w:rFonts w:ascii="Calibri" w:hAnsi="Calibri" w:eastAsia="MS Mincho" w:cs="Calibri"/>
                <w:i/>
                <w:iCs/>
                <w:color w:val="00B050"/>
                <w:kern w:val="2"/>
                <w:sz w:val="16"/>
                <w:szCs w:val="16"/>
                <w:lang w:eastAsia="en-US"/>
              </w:rPr>
              <w:t xml:space="preserve">he supported TAIs </w:t>
            </w:r>
            <w:r>
              <w:rPr>
                <w:rFonts w:hint="eastAsia" w:ascii="Calibri" w:hAnsi="Calibri" w:eastAsia="MS Mincho" w:cs="Calibri"/>
                <w:i/>
                <w:iCs/>
                <w:color w:val="00B050"/>
                <w:kern w:val="2"/>
                <w:sz w:val="16"/>
                <w:szCs w:val="16"/>
                <w:lang w:eastAsia="en-US"/>
              </w:rPr>
              <w:t xml:space="preserve">of an on-board gNB could be </w:t>
            </w:r>
            <w:r>
              <w:rPr>
                <w:rFonts w:ascii="Calibri" w:hAnsi="Calibri" w:eastAsia="MS Mincho" w:cs="Calibri"/>
                <w:i/>
                <w:iCs/>
                <w:color w:val="00B050"/>
                <w:kern w:val="2"/>
                <w:sz w:val="16"/>
                <w:szCs w:val="16"/>
                <w:lang w:eastAsia="en-US"/>
              </w:rPr>
              <w:t xml:space="preserve">provided to AMF by </w:t>
            </w:r>
            <w:r>
              <w:rPr>
                <w:rFonts w:hint="eastAsia" w:ascii="Calibri" w:hAnsi="Calibri" w:eastAsia="MS Mincho" w:cs="Calibri"/>
                <w:i/>
                <w:iCs/>
                <w:color w:val="00B050"/>
                <w:kern w:val="2"/>
                <w:sz w:val="16"/>
                <w:szCs w:val="16"/>
                <w:lang w:eastAsia="en-US"/>
              </w:rPr>
              <w:t>OAM/pre-configuration</w:t>
            </w:r>
            <w:r>
              <w:rPr>
                <w:rFonts w:ascii="Calibri" w:hAnsi="Calibri" w:eastAsia="MS Mincho" w:cs="Calibri"/>
                <w:i/>
                <w:iCs/>
                <w:color w:val="00B050"/>
                <w:kern w:val="2"/>
                <w:sz w:val="16"/>
                <w:szCs w:val="16"/>
                <w:lang w:eastAsia="en-US"/>
              </w:rPr>
              <w:t>.</w:t>
            </w:r>
          </w:p>
          <w:p>
            <w:pPr>
              <w:rPr>
                <w:rFonts w:hint="eastAsia" w:ascii="Calibri" w:hAnsi="Calibri" w:eastAsia="宋体" w:cs="Calibri"/>
                <w:i/>
                <w:iCs/>
                <w:color w:val="auto"/>
                <w:kern w:val="2"/>
                <w:sz w:val="16"/>
                <w:szCs w:val="16"/>
                <w:u w:val="single"/>
                <w:lang w:val="en-US" w:eastAsia="zh-CN"/>
              </w:rPr>
            </w:pPr>
            <w:r>
              <w:rPr>
                <w:rFonts w:hint="eastAsia" w:ascii="Calibri" w:hAnsi="Calibri" w:eastAsia="宋体" w:cs="Calibri"/>
                <w:i/>
                <w:iCs/>
                <w:color w:val="auto"/>
                <w:kern w:val="2"/>
                <w:sz w:val="16"/>
                <w:szCs w:val="16"/>
                <w:u w:val="single"/>
                <w:lang w:val="en-US" w:eastAsia="zh-CN"/>
              </w:rPr>
              <w:t>Others:</w:t>
            </w:r>
          </w:p>
          <w:p>
            <w:pPr>
              <w:pStyle w:val="2"/>
              <w:rPr>
                <w:rFonts w:hint="default" w:ascii="Calibri" w:hAnsi="Calibri" w:eastAsia="MS Mincho" w:cs="Calibri"/>
                <w:i/>
                <w:iCs/>
                <w:color w:val="FF0000"/>
                <w:kern w:val="2"/>
                <w:sz w:val="16"/>
                <w:szCs w:val="16"/>
                <w:lang w:val="en-US" w:eastAsia="zh-CN" w:bidi="ar-SA"/>
              </w:rPr>
            </w:pPr>
            <w:r>
              <w:rPr>
                <w:rFonts w:hint="eastAsia" w:ascii="Calibri" w:hAnsi="Calibri" w:eastAsia="MS Mincho" w:cs="Calibri"/>
                <w:i/>
                <w:iCs/>
                <w:color w:val="FF0000"/>
                <w:kern w:val="2"/>
                <w:sz w:val="16"/>
                <w:szCs w:val="16"/>
                <w:lang w:val="en-US" w:eastAsia="en-US" w:bidi="ar-SA"/>
              </w:rPr>
              <w:t>N</w:t>
            </w:r>
            <w:r>
              <w:rPr>
                <w:rFonts w:ascii="Calibri" w:hAnsi="Calibri" w:eastAsia="MS Mincho" w:cs="Calibri"/>
                <w:i/>
                <w:iCs/>
                <w:color w:val="FF0000"/>
                <w:kern w:val="2"/>
                <w:sz w:val="16"/>
                <w:szCs w:val="16"/>
                <w:lang w:val="en-US" w:eastAsia="en-US" w:bidi="ar-SA"/>
              </w:rPr>
              <w:t xml:space="preserve">o enhancements on </w:t>
            </w:r>
            <w:r>
              <w:rPr>
                <w:rFonts w:hint="eastAsia" w:ascii="Calibri" w:hAnsi="Calibri" w:eastAsia="MS Mincho" w:cs="Calibri"/>
                <w:i/>
                <w:iCs/>
                <w:color w:val="FF0000"/>
                <w:kern w:val="2"/>
                <w:sz w:val="16"/>
                <w:szCs w:val="16"/>
                <w:lang w:val="en-US" w:eastAsia="en-US" w:bidi="ar-SA"/>
              </w:rPr>
              <w:t>location based CHO</w:t>
            </w:r>
            <w:r>
              <w:rPr>
                <w:rFonts w:ascii="Calibri" w:hAnsi="Calibri" w:eastAsia="MS Mincho" w:cs="Calibri"/>
                <w:i/>
                <w:iCs/>
                <w:color w:val="FF0000"/>
                <w:kern w:val="2"/>
                <w:sz w:val="16"/>
                <w:szCs w:val="16"/>
                <w:lang w:val="en-US" w:eastAsia="en-US" w:bidi="ar-SA"/>
              </w:rPr>
              <w:t xml:space="preserve"> for NTN in R19.</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remaining issues for NTN in Rel-19.</w:t>
      </w:r>
    </w:p>
    <w:p>
      <w:pPr>
        <w:pStyle w:val="3"/>
        <w:bidi w:val="0"/>
        <w:rPr>
          <w:rFonts w:hint="eastAsia"/>
          <w:lang w:val="en-US" w:eastAsia="zh-CN"/>
        </w:rPr>
      </w:pPr>
      <w:r>
        <w:rPr>
          <w:rFonts w:hint="eastAsia"/>
          <w:lang w:val="en-US" w:eastAsia="zh-CN"/>
        </w:rPr>
        <w:t>2  Discussion</w:t>
      </w:r>
    </w:p>
    <w:p>
      <w:pPr>
        <w:pStyle w:val="4"/>
        <w:bidi w:val="0"/>
        <w:rPr>
          <w:rFonts w:hint="default"/>
          <w:sz w:val="32"/>
          <w:szCs w:val="20"/>
          <w:lang w:val="en-US" w:eastAsia="zh-CN"/>
        </w:rPr>
      </w:pPr>
      <w:r>
        <w:rPr>
          <w:rFonts w:hint="eastAsia"/>
          <w:sz w:val="32"/>
          <w:szCs w:val="20"/>
          <w:lang w:val="en-US" w:eastAsia="zh-CN"/>
        </w:rPr>
        <w:t>2.1  Correction on MBS Broadcast</w:t>
      </w:r>
    </w:p>
    <w:p>
      <w:pPr>
        <w:tabs>
          <w:tab w:val="left" w:pos="3800"/>
        </w:tabs>
        <w:rPr>
          <w:rFonts w:hint="default" w:ascii="Arial" w:hAnsi="Arial" w:cs="Arial"/>
          <w:sz w:val="20"/>
          <w:szCs w:val="20"/>
          <w:lang w:val="en-US" w:eastAsia="zh-CN"/>
        </w:rPr>
      </w:pPr>
      <w:r>
        <w:rPr>
          <w:rFonts w:hint="eastAsia" w:ascii="Arial" w:hAnsi="Arial" w:cs="Arial"/>
          <w:sz w:val="20"/>
          <w:szCs w:val="20"/>
          <w:lang w:val="en-US" w:eastAsia="zh-CN"/>
        </w:rPr>
        <w:t xml:space="preserve">In current NTN BL CR to 38.413, for the value of </w:t>
      </w:r>
      <w:r>
        <w:rPr>
          <w:rFonts w:hint="eastAsia" w:ascii="Arial" w:hAnsi="Arial" w:cs="Arial"/>
          <w:i/>
          <w:iCs/>
          <w:color w:val="000000"/>
          <w:sz w:val="20"/>
          <w:szCs w:val="20"/>
          <w:lang w:val="en-US" w:eastAsia="zh-CN"/>
        </w:rPr>
        <w:t xml:space="preserve">maxnoofIntendedAreasforMBS </w:t>
      </w:r>
      <w:r>
        <w:rPr>
          <w:rFonts w:hint="eastAsia" w:ascii="Arial" w:hAnsi="Arial" w:cs="Arial"/>
          <w:i w:val="0"/>
          <w:iCs w:val="0"/>
          <w:color w:val="000000"/>
          <w:sz w:val="20"/>
          <w:szCs w:val="20"/>
          <w:lang w:val="en-US" w:eastAsia="zh-CN"/>
        </w:rPr>
        <w:t xml:space="preserve">within the IE </w:t>
      </w:r>
      <w:r>
        <w:rPr>
          <w:rFonts w:hint="eastAsia" w:ascii="Arial" w:hAnsi="Arial" w:cs="Arial"/>
          <w:i/>
          <w:iCs/>
          <w:color w:val="000000"/>
          <w:sz w:val="20"/>
          <w:szCs w:val="20"/>
          <w:lang w:val="en-US" w:eastAsia="zh-CN"/>
        </w:rPr>
        <w:t>MBS Service Area Information</w:t>
      </w:r>
      <w:r>
        <w:rPr>
          <w:rFonts w:hint="eastAsia" w:ascii="Arial" w:hAnsi="Arial" w:cs="Arial"/>
          <w:i w:val="0"/>
          <w:iCs w:val="0"/>
          <w:color w:val="000000"/>
          <w:sz w:val="20"/>
          <w:szCs w:val="20"/>
          <w:lang w:val="en-US" w:eastAsia="zh-CN"/>
        </w:rPr>
        <w:t xml:space="preserve"> </w:t>
      </w:r>
      <w:r>
        <w:rPr>
          <w:rFonts w:hint="eastAsia" w:ascii="Arial" w:hAnsi="Arial" w:cs="Arial"/>
          <w:sz w:val="20"/>
          <w:szCs w:val="20"/>
          <w:lang w:val="en-US" w:eastAsia="zh-CN"/>
        </w:rPr>
        <w:t>is 65536, which is given as below[2].</w:t>
      </w:r>
    </w:p>
    <w:p>
      <w:pPr>
        <w:pStyle w:val="2"/>
        <w:rPr>
          <w:rFonts w:hint="default"/>
          <w:lang w:val="en-US"/>
        </w:rPr>
      </w:pPr>
      <w:r>
        <w:drawing>
          <wp:inline distT="0" distB="0" distL="114300" distR="114300">
            <wp:extent cx="6118225" cy="3460750"/>
            <wp:effectExtent l="0" t="0" r="15875"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118225" cy="3460750"/>
                    </a:xfrm>
                    <a:prstGeom prst="rect">
                      <a:avLst/>
                    </a:prstGeom>
                    <a:noFill/>
                    <a:ln>
                      <a:noFill/>
                    </a:ln>
                  </pic:spPr>
                </pic:pic>
              </a:graphicData>
            </a:graphic>
          </wp:inline>
        </w:drawing>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i w:val="0"/>
          <w:iCs w:val="0"/>
          <w:color w:val="000000"/>
          <w:sz w:val="20"/>
          <w:szCs w:val="20"/>
          <w:lang w:val="en-US" w:eastAsia="zh-CN"/>
        </w:rPr>
      </w:pPr>
      <w:r>
        <w:rPr>
          <w:rFonts w:hint="eastAsia" w:ascii="Arial" w:hAnsi="Arial" w:cs="Arial"/>
          <w:color w:val="000000"/>
          <w:sz w:val="20"/>
          <w:szCs w:val="20"/>
          <w:lang w:val="en-US" w:eastAsia="zh-CN"/>
        </w:rPr>
        <w:t>While, in RAN2</w:t>
      </w:r>
      <w:r>
        <w:rPr>
          <w:rFonts w:hint="default" w:ascii="Arial" w:hAnsi="Arial" w:cs="Arial"/>
          <w:color w:val="000000"/>
          <w:sz w:val="20"/>
          <w:szCs w:val="20"/>
          <w:lang w:val="en-US" w:eastAsia="zh-CN"/>
        </w:rPr>
        <w:t>’</w:t>
      </w:r>
      <w:r>
        <w:rPr>
          <w:rFonts w:hint="eastAsia" w:ascii="Arial" w:hAnsi="Arial" w:cs="Arial"/>
          <w:color w:val="000000"/>
          <w:sz w:val="20"/>
          <w:szCs w:val="20"/>
          <w:lang w:val="en-US" w:eastAsia="zh-CN"/>
        </w:rPr>
        <w:t xml:space="preserve">s running RRC CR for NR NTN, the value of </w:t>
      </w:r>
      <w:r>
        <w:rPr>
          <w:rFonts w:hint="eastAsia" w:ascii="Arial" w:hAnsi="Arial" w:cs="Arial"/>
          <w:i/>
          <w:iCs/>
          <w:color w:val="000000"/>
          <w:sz w:val="20"/>
          <w:szCs w:val="20"/>
          <w:lang w:val="en-US" w:eastAsia="zh-CN"/>
        </w:rPr>
        <w:t>maxNrofMBS-Area-r19</w:t>
      </w:r>
      <w:r>
        <w:rPr>
          <w:rFonts w:hint="eastAsia" w:ascii="Arial" w:hAnsi="Arial" w:cs="Arial"/>
          <w:color w:val="000000"/>
          <w:sz w:val="20"/>
          <w:szCs w:val="20"/>
          <w:lang w:val="en-US" w:eastAsia="zh-CN"/>
        </w:rPr>
        <w:t xml:space="preserve"> in </w:t>
      </w:r>
      <w:r>
        <w:rPr>
          <w:rFonts w:hint="eastAsia" w:ascii="Arial" w:hAnsi="Arial" w:cs="Arial"/>
          <w:i/>
          <w:iCs/>
          <w:color w:val="000000"/>
          <w:sz w:val="20"/>
          <w:szCs w:val="20"/>
          <w:lang w:val="en-US" w:eastAsia="zh-CN"/>
        </w:rPr>
        <w:t>SIBXX</w:t>
      </w:r>
      <w:r>
        <w:rPr>
          <w:rFonts w:hint="eastAsia" w:ascii="Arial" w:hAnsi="Arial" w:cs="Arial"/>
          <w:color w:val="000000"/>
          <w:sz w:val="20"/>
          <w:szCs w:val="20"/>
          <w:lang w:val="en-US" w:eastAsia="zh-CN"/>
        </w:rPr>
        <w:t xml:space="preserve"> is set to 32, which is given as below[3]. </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pPr>
      <w:r>
        <w:drawing>
          <wp:inline distT="0" distB="0" distL="114300" distR="114300">
            <wp:extent cx="6523990" cy="4553585"/>
            <wp:effectExtent l="0" t="0" r="1016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523990" cy="4553585"/>
                    </a:xfrm>
                    <a:prstGeom prst="rect">
                      <a:avLst/>
                    </a:prstGeom>
                    <a:noFill/>
                    <a:ln>
                      <a:noFill/>
                    </a:ln>
                  </pic:spPr>
                </pic:pic>
              </a:graphicData>
            </a:graphic>
          </wp:inline>
        </w:drawing>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pPr>
    </w:p>
    <w:p>
      <w:pPr>
        <w:pStyle w:val="129"/>
        <w:numPr>
          <w:ilvl w:val="0"/>
          <w:numId w:val="0"/>
        </w:numPr>
        <w:spacing w:after="120" w:afterLines="50"/>
        <w:rPr>
          <w:rFonts w:hint="eastAsia" w:ascii="Arial" w:hAnsi="Arial" w:eastAsia="宋体" w:cs="Arial"/>
          <w:lang w:val="en-US" w:eastAsia="zh-CN"/>
        </w:rPr>
      </w:pPr>
      <w:r>
        <w:drawing>
          <wp:inline distT="0" distB="0" distL="114300" distR="114300">
            <wp:extent cx="6478270" cy="272415"/>
            <wp:effectExtent l="0" t="0" r="1778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478270" cy="272415"/>
                    </a:xfrm>
                    <a:prstGeom prst="rect">
                      <a:avLst/>
                    </a:prstGeom>
                    <a:noFill/>
                    <a:ln>
                      <a:noFill/>
                    </a:ln>
                  </pic:spPr>
                </pic:pic>
              </a:graphicData>
            </a:graphic>
          </wp:inline>
        </w:drawing>
      </w:r>
    </w:p>
    <w:p>
      <w:pPr>
        <w:pStyle w:val="129"/>
        <w:numPr>
          <w:ilvl w:val="0"/>
          <w:numId w:val="0"/>
        </w:numPr>
        <w:spacing w:after="120" w:afterLines="50"/>
        <w:rPr>
          <w:rFonts w:hint="eastAsia" w:ascii="Arial" w:hAnsi="Arial" w:cs="Arial"/>
          <w:color w:val="000000"/>
          <w:sz w:val="20"/>
          <w:szCs w:val="20"/>
          <w:lang w:val="en-US" w:eastAsia="zh-CN"/>
        </w:rPr>
      </w:pPr>
    </w:p>
    <w:p>
      <w:pPr>
        <w:pStyle w:val="129"/>
        <w:numPr>
          <w:ilvl w:val="0"/>
          <w:numId w:val="0"/>
        </w:numPr>
        <w:spacing w:after="120" w:afterLines="50"/>
        <w:rPr>
          <w:rFonts w:hint="default" w:ascii="Arial" w:hAnsi="Arial" w:eastAsia="宋体" w:cs="Arial"/>
          <w:lang w:val="en-US" w:eastAsia="zh-CN"/>
        </w:rPr>
      </w:pPr>
      <w:r>
        <w:rPr>
          <w:rFonts w:hint="eastAsia" w:ascii="Arial" w:hAnsi="Arial" w:cs="Arial"/>
          <w:color w:val="000000"/>
          <w:sz w:val="20"/>
          <w:szCs w:val="20"/>
          <w:lang w:val="en-US" w:eastAsia="zh-CN"/>
        </w:rPr>
        <w:t xml:space="preserve">Therefore, the value of </w:t>
      </w:r>
      <w:r>
        <w:rPr>
          <w:rFonts w:hint="eastAsia" w:ascii="Arial" w:hAnsi="Arial" w:cs="Arial"/>
          <w:i/>
          <w:iCs/>
          <w:color w:val="000000"/>
          <w:sz w:val="20"/>
          <w:szCs w:val="20"/>
          <w:lang w:val="en-US" w:eastAsia="zh-CN"/>
        </w:rPr>
        <w:t xml:space="preserve">maxnoofIntendedAreasforMBS </w:t>
      </w:r>
      <w:r>
        <w:rPr>
          <w:rFonts w:hint="eastAsia" w:ascii="Arial" w:hAnsi="Arial" w:cs="Arial"/>
          <w:i w:val="0"/>
          <w:iCs w:val="0"/>
          <w:color w:val="000000"/>
          <w:sz w:val="20"/>
          <w:szCs w:val="20"/>
          <w:lang w:val="en-US" w:eastAsia="zh-CN"/>
        </w:rPr>
        <w:t>in the</w:t>
      </w:r>
      <w:r>
        <w:rPr>
          <w:rFonts w:hint="eastAsia" w:ascii="Arial" w:hAnsi="Arial" w:cs="Arial"/>
          <w:i/>
          <w:iCs/>
          <w:color w:val="000000"/>
          <w:sz w:val="20"/>
          <w:szCs w:val="20"/>
          <w:lang w:val="en-US" w:eastAsia="zh-CN"/>
        </w:rPr>
        <w:t xml:space="preserve"> MBS Intended Service Area List</w:t>
      </w:r>
      <w:r>
        <w:rPr>
          <w:rFonts w:hint="eastAsia" w:ascii="Arial" w:hAnsi="Arial" w:cs="Arial"/>
          <w:i w:val="0"/>
          <w:iCs w:val="0"/>
          <w:color w:val="000000"/>
          <w:sz w:val="20"/>
          <w:szCs w:val="20"/>
          <w:lang w:val="en-US" w:eastAsia="zh-CN"/>
        </w:rPr>
        <w:t xml:space="preserve"> IE over NGAP should be 32.</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1: Change </w:t>
      </w:r>
      <w:r>
        <w:rPr>
          <w:rFonts w:hint="eastAsia" w:ascii="Arial" w:hAnsi="Arial" w:cs="Arial"/>
          <w:b/>
          <w:bCs/>
          <w:sz w:val="20"/>
          <w:szCs w:val="20"/>
          <w:lang w:val="en-US" w:eastAsia="zh-CN"/>
        </w:rPr>
        <w:t xml:space="preserve">the value of </w:t>
      </w:r>
      <w:r>
        <w:rPr>
          <w:rFonts w:hint="eastAsia" w:ascii="Arial" w:hAnsi="Arial" w:cs="Arial"/>
          <w:b/>
          <w:bCs/>
          <w:i/>
          <w:iCs/>
          <w:color w:val="000000"/>
          <w:sz w:val="20"/>
          <w:szCs w:val="20"/>
          <w:lang w:val="en-US" w:eastAsia="zh-CN"/>
        </w:rPr>
        <w:t>maxnoofIntendedAreasforMBS</w:t>
      </w:r>
      <w:r>
        <w:rPr>
          <w:rFonts w:hint="eastAsia"/>
          <w:b/>
          <w:bCs/>
          <w:sz w:val="20"/>
          <w:szCs w:val="20"/>
          <w:lang w:val="en-US" w:eastAsia="zh-CN"/>
        </w:rPr>
        <w:t xml:space="preserve"> within the IE </w:t>
      </w:r>
      <w:r>
        <w:rPr>
          <w:rFonts w:hint="eastAsia" w:ascii="Arial" w:hAnsi="Arial" w:cs="Arial"/>
          <w:b/>
          <w:bCs/>
          <w:i/>
          <w:iCs/>
          <w:color w:val="000000"/>
          <w:sz w:val="20"/>
          <w:szCs w:val="20"/>
          <w:lang w:val="en-US" w:eastAsia="zh-CN"/>
        </w:rPr>
        <w:t>MBS Service Area Information</w:t>
      </w:r>
      <w:r>
        <w:rPr>
          <w:rFonts w:hint="eastAsia" w:cs="Arial"/>
          <w:b/>
          <w:bCs/>
          <w:i/>
          <w:iCs/>
          <w:color w:val="000000"/>
          <w:sz w:val="20"/>
          <w:szCs w:val="20"/>
          <w:lang w:val="en-US" w:eastAsia="zh-CN"/>
        </w:rPr>
        <w:t xml:space="preserve"> </w:t>
      </w:r>
      <w:r>
        <w:rPr>
          <w:rFonts w:hint="eastAsia" w:cs="Arial"/>
          <w:b/>
          <w:bCs/>
          <w:i w:val="0"/>
          <w:iCs w:val="0"/>
          <w:color w:val="000000"/>
          <w:sz w:val="20"/>
          <w:szCs w:val="20"/>
          <w:lang w:val="en-US" w:eastAsia="zh-CN"/>
        </w:rPr>
        <w:t xml:space="preserve">as 32 </w:t>
      </w:r>
      <w:r>
        <w:rPr>
          <w:rFonts w:hint="eastAsia"/>
          <w:b/>
          <w:bCs/>
          <w:sz w:val="20"/>
          <w:szCs w:val="20"/>
          <w:lang w:val="en-US" w:eastAsia="zh-CN"/>
        </w:rPr>
        <w:t>in BL CR 38.413.</w:t>
      </w:r>
    </w:p>
    <w:p>
      <w:pPr>
        <w:rPr>
          <w:rFonts w:hint="eastAsia"/>
          <w:lang w:val="en-US" w:eastAsia="zh-CN"/>
        </w:rPr>
      </w:pPr>
    </w:p>
    <w:p>
      <w:pPr>
        <w:pStyle w:val="4"/>
        <w:bidi w:val="0"/>
        <w:rPr>
          <w:rFonts w:hint="default"/>
          <w:sz w:val="32"/>
          <w:szCs w:val="20"/>
          <w:lang w:val="en-US" w:eastAsia="zh-CN"/>
        </w:rPr>
      </w:pPr>
      <w:r>
        <w:rPr>
          <w:rFonts w:hint="eastAsia"/>
          <w:sz w:val="32"/>
          <w:szCs w:val="20"/>
          <w:lang w:val="en-US" w:eastAsia="zh-CN"/>
        </w:rPr>
        <w:t>2.2  NG connection interruption</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last meeting, the NG connection interruption issue was discussed, and the following WA was reached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Theme="minorEastAsia"/>
                <w:b/>
                <w:u w:val="single"/>
                <w:lang w:val="en-US" w:eastAsia="zh-CN"/>
              </w:rPr>
            </w:pPr>
            <w:r>
              <w:rPr>
                <w:rFonts w:ascii="Calibri" w:hAnsi="Calibri" w:eastAsia="MS Mincho" w:cs="Calibri"/>
                <w:i/>
                <w:iCs/>
                <w:color w:val="00B050"/>
                <w:kern w:val="2"/>
                <w:sz w:val="16"/>
                <w:szCs w:val="16"/>
                <w:lang w:eastAsia="en-US"/>
              </w:rPr>
              <w:t>WA: For regenerative payload, an indication to suspend or resume</w:t>
            </w:r>
            <w:r>
              <w:rPr>
                <w:rFonts w:hint="eastAsia" w:ascii="Calibri" w:hAnsi="Calibri" w:eastAsia="MS Mincho" w:cs="Calibri"/>
                <w:i/>
                <w:iCs/>
                <w:color w:val="00B050"/>
                <w:kern w:val="2"/>
                <w:sz w:val="16"/>
                <w:szCs w:val="16"/>
                <w:lang w:eastAsia="en-US"/>
              </w:rPr>
              <w:t xml:space="preserve"> NG connection</w:t>
            </w:r>
            <w:r>
              <w:rPr>
                <w:rFonts w:ascii="Calibri" w:hAnsi="Calibri" w:eastAsia="MS Mincho" w:cs="Calibri"/>
                <w:i/>
                <w:iCs/>
                <w:color w:val="00B050"/>
                <w:kern w:val="2"/>
                <w:sz w:val="16"/>
                <w:szCs w:val="16"/>
                <w:lang w:eastAsia="en-US"/>
              </w:rPr>
              <w:t xml:space="preserve"> may be sent to AMF from gNB in the RAN Configuration Update procedure.</w:t>
            </w:r>
          </w:p>
        </w:tc>
      </w:tr>
    </w:tbl>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eastAsia="宋体" w:cs="Arial"/>
          <w:lang w:val="en-US" w:eastAsia="zh-CN" w:bidi="ar-SA"/>
        </w:rPr>
      </w:pPr>
      <w:r>
        <w:rPr>
          <w:rFonts w:hint="eastAsia" w:ascii="Arial" w:hAnsi="Arial" w:eastAsia="宋体" w:cs="Arial"/>
          <w:lang w:val="en-US" w:eastAsia="zh-CN" w:bidi="ar-SA"/>
        </w:rPr>
        <w:t xml:space="preserve">The </w:t>
      </w:r>
      <w:r>
        <w:rPr>
          <w:rFonts w:hint="default" w:ascii="Arial" w:hAnsi="Arial" w:eastAsia="宋体" w:cs="Arial"/>
          <w:lang w:val="en-US" w:eastAsia="zh-CN" w:bidi="ar-SA"/>
        </w:rPr>
        <w:t>“</w:t>
      </w:r>
      <w:r>
        <w:rPr>
          <w:rFonts w:hint="eastAsia" w:ascii="Arial" w:hAnsi="Arial" w:eastAsia="宋体" w:cs="Arial"/>
          <w:lang w:val="en-US" w:eastAsia="zh-CN" w:bidi="ar-SA"/>
        </w:rPr>
        <w:t>Downlink NG Transmission Control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IE was introduced over NG to support the hard feeder link switchover. However, in this case, in addition to the DL data/ signalling which should be kept and suspended, the UE Context should be also kept in the AMF. Therefore, it is better to change the newly added IE name as </w:t>
      </w:r>
      <w:r>
        <w:rPr>
          <w:rFonts w:hint="default" w:ascii="Arial" w:hAnsi="Arial" w:eastAsia="宋体" w:cs="Arial"/>
          <w:lang w:val="en-US" w:eastAsia="zh-CN" w:bidi="ar-SA"/>
        </w:rPr>
        <w:t>“</w:t>
      </w:r>
      <w:r>
        <w:rPr>
          <w:rFonts w:hint="eastAsia" w:ascii="Arial" w:hAnsi="Arial" w:eastAsia="宋体" w:cs="Arial"/>
          <w:lang w:val="en-US" w:eastAsia="zh-CN" w:bidi="ar-SA"/>
        </w:rPr>
        <w:t>NG Connection Control</w:t>
      </w:r>
      <w:r>
        <w:rPr>
          <w:rFonts w:hint="default" w:ascii="Arial" w:hAnsi="Arial" w:eastAsia="宋体" w:cs="Arial"/>
          <w:lang w:val="en-US" w:eastAsia="zh-CN" w:bidi="ar-SA"/>
        </w:rPr>
        <w:t>”</w:t>
      </w:r>
      <w:r>
        <w:rPr>
          <w:rFonts w:hint="eastAsia" w:ascii="Arial" w:hAnsi="Arial" w:eastAsia="宋体" w:cs="Arial"/>
          <w:lang w:val="en-US" w:eastAsia="zh-CN" w:bidi="ar-SA"/>
        </w:rPr>
        <w:t xml:space="preserve"> to make it more general.</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 xml:space="preserve">Proposal 2: Regarding the NG connection interruption, rename the IE as </w:t>
      </w:r>
      <w:r>
        <w:rPr>
          <w:rFonts w:hint="default"/>
          <w:b/>
          <w:bCs/>
          <w:sz w:val="20"/>
          <w:szCs w:val="20"/>
          <w:lang w:val="en-US" w:eastAsia="zh-CN"/>
        </w:rPr>
        <w:t>“</w:t>
      </w:r>
      <w:r>
        <w:rPr>
          <w:rFonts w:hint="eastAsia"/>
          <w:b/>
          <w:bCs/>
          <w:sz w:val="20"/>
          <w:szCs w:val="20"/>
          <w:lang w:val="en-US" w:eastAsia="zh-CN"/>
        </w:rPr>
        <w:t>NG Connection Control</w:t>
      </w:r>
      <w:r>
        <w:rPr>
          <w:rFonts w:hint="default"/>
          <w:b/>
          <w:bCs/>
          <w:sz w:val="20"/>
          <w:szCs w:val="20"/>
          <w:lang w:val="en-US" w:eastAsia="zh-CN"/>
        </w:rPr>
        <w:t>”</w:t>
      </w:r>
      <w:r>
        <w:rPr>
          <w:rFonts w:hint="eastAsia"/>
          <w:b/>
          <w:bCs/>
          <w:sz w:val="20"/>
          <w:szCs w:val="20"/>
          <w:lang w:val="en-US" w:eastAsia="zh-CN"/>
        </w:rPr>
        <w:t xml:space="preserve"> to make it more general.</w:t>
      </w:r>
    </w:p>
    <w:p>
      <w:pPr>
        <w:pStyle w:val="82"/>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eastAsia="宋体" w:cs="Arial"/>
          <w:lang w:val="en-US" w:eastAsia="zh-CN" w:bidi="ar-SA"/>
        </w:rPr>
      </w:pPr>
      <w:r>
        <w:rPr>
          <w:rFonts w:hint="eastAsia" w:ascii="Arial" w:hAnsi="Arial" w:eastAsia="宋体" w:cs="Arial"/>
          <w:lang w:val="en-US" w:eastAsia="zh-CN" w:bidi="ar-SA"/>
        </w:rPr>
        <w:t>In addition, currently, the above indication is only used for hard FLSO scenario, while, as we discussed before, this indication can be used to suspend or resume the NG connection, not only for suspending or resuming data and signalling procedures over NG. Meanwhile, the applicable scenario should not be limited to the hard FLSO, and it could be used as the complementation to the NG Removal to help resume the NG interface quickly.</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b/>
          <w:bCs/>
          <w:sz w:val="20"/>
          <w:szCs w:val="20"/>
          <w:lang w:val="en-US" w:eastAsia="zh-CN"/>
        </w:rPr>
      </w:pPr>
      <w:r>
        <w:rPr>
          <w:rFonts w:hint="eastAsia"/>
          <w:b/>
          <w:bCs/>
          <w:sz w:val="20"/>
          <w:szCs w:val="20"/>
          <w:lang w:val="en-US" w:eastAsia="zh-CN"/>
        </w:rPr>
        <w:t>Proposal 3: Regarding the NG connection interruption, extend the usage of NG suspend/resume indication.</w:t>
      </w:r>
    </w:p>
    <w:p>
      <w:pPr>
        <w:pStyle w:val="3"/>
        <w:ind w:left="0" w:leftChars="0" w:firstLine="0" w:firstLineChars="0"/>
        <w:rPr>
          <w:lang w:val="en-US"/>
        </w:rPr>
      </w:pPr>
      <w:r>
        <w:rPr>
          <w:rFonts w:hint="eastAsia"/>
          <w:lang w:val="en-US" w:eastAsia="zh-CN"/>
        </w:rPr>
        <w:t>3  Conclusion</w:t>
      </w:r>
    </w:p>
    <w:p>
      <w:pPr>
        <w:pStyle w:val="88"/>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 xml:space="preserve">Proposal 1: Change </w:t>
      </w:r>
      <w:r>
        <w:rPr>
          <w:rFonts w:hint="eastAsia" w:ascii="Arial" w:hAnsi="Arial" w:cs="Arial"/>
          <w:b/>
          <w:bCs/>
          <w:sz w:val="20"/>
          <w:szCs w:val="20"/>
          <w:lang w:val="en-US" w:eastAsia="zh-CN"/>
        </w:rPr>
        <w:t xml:space="preserve">the value of </w:t>
      </w:r>
      <w:r>
        <w:rPr>
          <w:rFonts w:hint="eastAsia" w:ascii="Arial" w:hAnsi="Arial" w:cs="Arial"/>
          <w:b/>
          <w:bCs/>
          <w:i/>
          <w:iCs/>
          <w:color w:val="000000"/>
          <w:sz w:val="20"/>
          <w:szCs w:val="20"/>
          <w:lang w:val="en-US" w:eastAsia="zh-CN"/>
        </w:rPr>
        <w:t>maxnoofIntendedAreasforMBS</w:t>
      </w:r>
      <w:r>
        <w:rPr>
          <w:rFonts w:hint="eastAsia"/>
          <w:b/>
          <w:bCs/>
          <w:sz w:val="20"/>
          <w:szCs w:val="20"/>
          <w:lang w:val="en-US" w:eastAsia="zh-CN"/>
        </w:rPr>
        <w:t xml:space="preserve"> within the IE </w:t>
      </w:r>
      <w:r>
        <w:rPr>
          <w:rFonts w:hint="eastAsia" w:ascii="Arial" w:hAnsi="Arial" w:cs="Arial"/>
          <w:b/>
          <w:bCs/>
          <w:i/>
          <w:iCs/>
          <w:color w:val="000000"/>
          <w:sz w:val="20"/>
          <w:szCs w:val="20"/>
          <w:lang w:val="en-US" w:eastAsia="zh-CN"/>
        </w:rPr>
        <w:t>MBS Service Area Information</w:t>
      </w:r>
      <w:r>
        <w:rPr>
          <w:rFonts w:hint="eastAsia" w:cs="Arial"/>
          <w:b/>
          <w:bCs/>
          <w:i/>
          <w:iCs/>
          <w:color w:val="000000"/>
          <w:sz w:val="20"/>
          <w:szCs w:val="20"/>
          <w:lang w:val="en-US" w:eastAsia="zh-CN"/>
        </w:rPr>
        <w:t xml:space="preserve"> </w:t>
      </w:r>
      <w:r>
        <w:rPr>
          <w:rFonts w:hint="eastAsia" w:cs="Arial"/>
          <w:b/>
          <w:bCs/>
          <w:i w:val="0"/>
          <w:iCs w:val="0"/>
          <w:color w:val="000000"/>
          <w:sz w:val="20"/>
          <w:szCs w:val="20"/>
          <w:lang w:val="en-US" w:eastAsia="zh-CN"/>
        </w:rPr>
        <w:t xml:space="preserve">as 32 </w:t>
      </w:r>
      <w:r>
        <w:rPr>
          <w:rFonts w:hint="eastAsia"/>
          <w:b/>
          <w:bCs/>
          <w:sz w:val="20"/>
          <w:szCs w:val="20"/>
          <w:lang w:val="en-US" w:eastAsia="zh-CN"/>
        </w:rPr>
        <w:t>in BL CR 38.413.</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bCs/>
          <w:sz w:val="20"/>
          <w:szCs w:val="20"/>
          <w:lang w:val="en-US" w:eastAsia="zh-CN"/>
        </w:rPr>
        <w:t xml:space="preserve">Proposal 2: Regarding the NG connection interruption, rename the IE as </w:t>
      </w:r>
      <w:r>
        <w:rPr>
          <w:rFonts w:hint="default"/>
          <w:b/>
          <w:bCs/>
          <w:sz w:val="20"/>
          <w:szCs w:val="20"/>
          <w:lang w:val="en-US" w:eastAsia="zh-CN"/>
        </w:rPr>
        <w:t>“</w:t>
      </w:r>
      <w:r>
        <w:rPr>
          <w:rFonts w:hint="eastAsia"/>
          <w:b/>
          <w:bCs/>
          <w:sz w:val="20"/>
          <w:szCs w:val="20"/>
          <w:lang w:val="en-US" w:eastAsia="zh-CN"/>
        </w:rPr>
        <w:t>NG Connection Control</w:t>
      </w:r>
      <w:r>
        <w:rPr>
          <w:rFonts w:hint="default"/>
          <w:b/>
          <w:bCs/>
          <w:sz w:val="20"/>
          <w:szCs w:val="20"/>
          <w:lang w:val="en-US" w:eastAsia="zh-CN"/>
        </w:rPr>
        <w:t>”</w:t>
      </w:r>
      <w:r>
        <w:rPr>
          <w:rFonts w:hint="eastAsia"/>
          <w:b/>
          <w:bCs/>
          <w:sz w:val="20"/>
          <w:szCs w:val="20"/>
          <w:lang w:val="en-US" w:eastAsia="zh-CN"/>
        </w:rPr>
        <w:t xml:space="preserve"> to make it more general.</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default"/>
          <w:b/>
          <w:bCs/>
          <w:sz w:val="20"/>
          <w:szCs w:val="20"/>
          <w:lang w:val="en-US" w:eastAsia="zh-CN"/>
        </w:rPr>
      </w:pPr>
      <w:r>
        <w:rPr>
          <w:rFonts w:hint="eastAsia"/>
          <w:b/>
          <w:bCs/>
          <w:sz w:val="20"/>
          <w:szCs w:val="20"/>
          <w:lang w:val="en-US" w:eastAsia="zh-CN"/>
        </w:rPr>
        <w:t>Proposal 3: Regarding the NG connection interruption, extend the usage of NG suspend/resume indication.</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val="0"/>
          <w:bCs w:val="0"/>
          <w:sz w:val="20"/>
          <w:szCs w:val="20"/>
          <w:lang w:val="en-US" w:eastAsia="zh-CN"/>
        </w:rPr>
      </w:pPr>
      <w:r>
        <w:rPr>
          <w:rFonts w:hint="eastAsia"/>
          <w:b w:val="0"/>
          <w:bCs w:val="0"/>
          <w:sz w:val="20"/>
          <w:szCs w:val="20"/>
          <w:lang w:val="en-US" w:eastAsia="zh-CN"/>
        </w:rPr>
        <w:t>The stage 3 TP on Support of MBS Broadcast is given in [4].</w:t>
      </w:r>
    </w:p>
    <w:p>
      <w:pPr>
        <w:pStyle w:val="88"/>
        <w:keepNext w:val="0"/>
        <w:keepLines w:val="0"/>
        <w:pageBreakBefore w:val="0"/>
        <w:widowControl/>
        <w:kinsoku/>
        <w:wordWrap/>
        <w:overflowPunct/>
        <w:topLinePunct w:val="0"/>
        <w:autoSpaceDE/>
        <w:autoSpaceDN/>
        <w:bidi w:val="0"/>
        <w:adjustRightInd/>
        <w:snapToGrid/>
        <w:spacing w:before="137" w:beforeLines="50" w:after="137" w:afterLines="50"/>
        <w:textAlignment w:val="auto"/>
        <w:rPr>
          <w:rFonts w:hint="eastAsia"/>
          <w:b/>
          <w:bCs/>
          <w:sz w:val="20"/>
          <w:szCs w:val="20"/>
          <w:lang w:val="en-US" w:eastAsia="zh-CN"/>
        </w:rPr>
      </w:pPr>
      <w:r>
        <w:rPr>
          <w:rFonts w:hint="eastAsia"/>
          <w:b w:val="0"/>
          <w:bCs w:val="0"/>
          <w:sz w:val="20"/>
          <w:szCs w:val="20"/>
          <w:lang w:val="en-US" w:eastAsia="zh-CN"/>
        </w:rPr>
        <w:t>The stage 2 and stage 3 TP on NG connection</w:t>
      </w:r>
      <w:bookmarkStart w:id="4" w:name="_GoBack"/>
      <w:bookmarkEnd w:id="4"/>
      <w:r>
        <w:rPr>
          <w:rFonts w:hint="eastAsia"/>
          <w:b w:val="0"/>
          <w:bCs w:val="0"/>
          <w:sz w:val="20"/>
          <w:szCs w:val="20"/>
          <w:lang w:val="en-US" w:eastAsia="zh-CN"/>
        </w:rPr>
        <w:t xml:space="preserve"> interruption are given in [5] and [6] respectively.</w:t>
      </w:r>
    </w:p>
    <w:p>
      <w:pPr>
        <w:pStyle w:val="3"/>
        <w:rPr>
          <w:rFonts w:cs="Arial"/>
          <w:lang w:val="en-US" w:eastAsia="zh-CN"/>
        </w:rPr>
      </w:pPr>
      <w:r>
        <w:rPr>
          <w:rFonts w:cs="Arial"/>
          <w:lang w:val="en-US"/>
        </w:rPr>
        <w:t>References</w:t>
      </w:r>
    </w:p>
    <w:p>
      <w:pPr>
        <w:numPr>
          <w:ilvl w:val="0"/>
          <w:numId w:val="1"/>
        </w:numPr>
        <w:ind w:left="284" w:hanging="284" w:hangingChars="142"/>
        <w:rPr>
          <w:rFonts w:hint="default" w:ascii="Arial" w:hAnsi="Arial" w:eastAsia="Times New Roman" w:cs="Arial"/>
          <w:szCs w:val="15"/>
          <w:lang w:val="en-US" w:eastAsia="zh-CN" w:bidi="ar-SA"/>
        </w:rPr>
      </w:pPr>
      <w:bookmarkStart w:id="3" w:name="OLE_LINK1"/>
      <w:r>
        <w:rPr>
          <w:rFonts w:hint="eastAsia" w:ascii="Arial" w:hAnsi="Arial" w:cs="Arial"/>
          <w:szCs w:val="15"/>
          <w:lang w:val="en-US" w:eastAsia="zh-CN"/>
        </w:rPr>
        <w:t>RAN3#128 Chairman Notes</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55068, Support for Regenerative Payload and MBS broadcast in NR NTN, CATT, Thales, Nokia, Nokia Shanghai Bell, Ericsson, Huawei, ZTE, Qualcomm, Samsung, Xiaomi, CMCC, China Telecom, Jio Platforms, LG Electronics,  NEC, ETRI, SES, ESA</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cs="Arial"/>
          <w:szCs w:val="15"/>
          <w:lang w:val="en-US" w:eastAsia="zh-CN" w:bidi="ar-SA"/>
        </w:rPr>
        <w:t>R2-2504656, Running RRC CR for NR NTN phase 3, Ericsson</w:t>
      </w:r>
    </w:p>
    <w:bookmarkEnd w:id="3"/>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55264, (TP to BL CR for 38.413) Support of MBS Broadcast, ZTE Corporation</w:t>
      </w:r>
    </w:p>
    <w:p>
      <w:pPr>
        <w:pStyle w:val="2"/>
        <w:numPr>
          <w:ilvl w:val="0"/>
          <w:numId w:val="1"/>
        </w:numPr>
        <w:ind w:left="284" w:leftChars="0" w:hanging="284" w:hangingChars="142"/>
        <w:rPr>
          <w:rFonts w:hint="default" w:ascii="Arial" w:hAnsi="Arial" w:cs="Arial"/>
          <w:szCs w:val="15"/>
          <w:lang w:val="en-US" w:eastAsia="zh-CN" w:bidi="ar-SA"/>
        </w:rPr>
      </w:pPr>
      <w:r>
        <w:rPr>
          <w:rFonts w:hint="eastAsia" w:ascii="Arial" w:hAnsi="Arial" w:eastAsia="Times New Roman" w:cs="Arial"/>
          <w:szCs w:val="15"/>
          <w:lang w:val="en-US" w:eastAsia="zh-CN" w:bidi="ar-SA"/>
        </w:rPr>
        <w:t>R3-2</w:t>
      </w:r>
      <w:r>
        <w:rPr>
          <w:rFonts w:hint="eastAsia" w:ascii="Arial" w:hAnsi="Arial" w:cs="Arial"/>
          <w:szCs w:val="15"/>
          <w:lang w:val="en-US" w:eastAsia="zh-CN" w:bidi="ar-SA"/>
        </w:rPr>
        <w:t>55179, (TP to BL CR for 38.300) Support for NG Suspend/Resume, CATT, ZTE,  Nokia, Nokia Shanghai Bell, Qualcomm, Samsung, CMCC, China Telecom, LG Electronics, Xiaomi</w:t>
      </w:r>
    </w:p>
    <w:p>
      <w:pPr>
        <w:pStyle w:val="2"/>
        <w:numPr>
          <w:ilvl w:val="0"/>
          <w:numId w:val="1"/>
        </w:numPr>
        <w:ind w:left="284" w:leftChars="0" w:hanging="284" w:hangingChars="142"/>
        <w:rPr>
          <w:rFonts w:hint="default" w:ascii="Arial" w:hAnsi="Arial" w:eastAsia="宋体" w:cs="Arial"/>
          <w:szCs w:val="15"/>
          <w:highlight w:val="none"/>
          <w:lang w:val="en-US" w:eastAsia="zh-CN"/>
        </w:rPr>
      </w:pPr>
      <w:r>
        <w:rPr>
          <w:rFonts w:hint="eastAsia" w:ascii="Arial" w:hAnsi="Arial" w:eastAsia="Times New Roman" w:cs="Arial"/>
          <w:szCs w:val="15"/>
          <w:highlight w:val="none"/>
          <w:lang w:val="en-US" w:eastAsia="zh-CN" w:bidi="ar-SA"/>
        </w:rPr>
        <w:t>R3-2</w:t>
      </w:r>
      <w:r>
        <w:rPr>
          <w:rFonts w:hint="eastAsia" w:ascii="Arial" w:hAnsi="Arial" w:cs="Arial"/>
          <w:szCs w:val="15"/>
          <w:highlight w:val="none"/>
          <w:lang w:val="en-US" w:eastAsia="zh-CN" w:bidi="ar-SA"/>
        </w:rPr>
        <w:t>55263, (TP to BL CR for 38.413) Support of Suspend and Resume Indication, ZTE Corporation, CATT, Nokia, Nokia Shanghai Bell, Qualcomm, Samsung, CMCC, China Telecom, LG Electronics, Xiaomi</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1612F"/>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06607A"/>
    <w:rsid w:val="01805634"/>
    <w:rsid w:val="02324214"/>
    <w:rsid w:val="02B43A7B"/>
    <w:rsid w:val="02B6410D"/>
    <w:rsid w:val="04AF3F3E"/>
    <w:rsid w:val="07057767"/>
    <w:rsid w:val="093150BB"/>
    <w:rsid w:val="09740087"/>
    <w:rsid w:val="0A1E5028"/>
    <w:rsid w:val="0AD75786"/>
    <w:rsid w:val="0B9A0A88"/>
    <w:rsid w:val="0CCD00D9"/>
    <w:rsid w:val="0E3136E6"/>
    <w:rsid w:val="0E3E5A66"/>
    <w:rsid w:val="0E9653EB"/>
    <w:rsid w:val="0EB605BF"/>
    <w:rsid w:val="0EC05A14"/>
    <w:rsid w:val="0F16768D"/>
    <w:rsid w:val="0F7D15EE"/>
    <w:rsid w:val="11793C9A"/>
    <w:rsid w:val="118333DA"/>
    <w:rsid w:val="13792BAA"/>
    <w:rsid w:val="13831A3C"/>
    <w:rsid w:val="14D00E04"/>
    <w:rsid w:val="15583959"/>
    <w:rsid w:val="15A20725"/>
    <w:rsid w:val="16820D5D"/>
    <w:rsid w:val="16CE0C48"/>
    <w:rsid w:val="1A0466FB"/>
    <w:rsid w:val="1AC80054"/>
    <w:rsid w:val="1C2D35B9"/>
    <w:rsid w:val="1D155476"/>
    <w:rsid w:val="20F3048E"/>
    <w:rsid w:val="21285BC2"/>
    <w:rsid w:val="21535177"/>
    <w:rsid w:val="23082C82"/>
    <w:rsid w:val="23545058"/>
    <w:rsid w:val="262124A9"/>
    <w:rsid w:val="26A22470"/>
    <w:rsid w:val="27F3215F"/>
    <w:rsid w:val="28637FC4"/>
    <w:rsid w:val="2AC30141"/>
    <w:rsid w:val="2CE25BA2"/>
    <w:rsid w:val="2E052AC8"/>
    <w:rsid w:val="2E0820D9"/>
    <w:rsid w:val="2E5A421D"/>
    <w:rsid w:val="2F0B754D"/>
    <w:rsid w:val="2F223451"/>
    <w:rsid w:val="307677A1"/>
    <w:rsid w:val="30CB3834"/>
    <w:rsid w:val="315B4657"/>
    <w:rsid w:val="315E1A2C"/>
    <w:rsid w:val="31887010"/>
    <w:rsid w:val="3213537B"/>
    <w:rsid w:val="33122CD9"/>
    <w:rsid w:val="33FF6796"/>
    <w:rsid w:val="343C414D"/>
    <w:rsid w:val="3508037E"/>
    <w:rsid w:val="35210BF3"/>
    <w:rsid w:val="35630EFA"/>
    <w:rsid w:val="35EA20D9"/>
    <w:rsid w:val="367F46EA"/>
    <w:rsid w:val="36DB3FDE"/>
    <w:rsid w:val="371E488D"/>
    <w:rsid w:val="3A5B0F85"/>
    <w:rsid w:val="3AC214F7"/>
    <w:rsid w:val="3CB536C8"/>
    <w:rsid w:val="3D3E6E28"/>
    <w:rsid w:val="3D903463"/>
    <w:rsid w:val="3E313BCA"/>
    <w:rsid w:val="3EB90BDA"/>
    <w:rsid w:val="3F433A22"/>
    <w:rsid w:val="3FCC0EBB"/>
    <w:rsid w:val="40B31123"/>
    <w:rsid w:val="41497E94"/>
    <w:rsid w:val="415F38FC"/>
    <w:rsid w:val="41855949"/>
    <w:rsid w:val="425A3FF2"/>
    <w:rsid w:val="458B6562"/>
    <w:rsid w:val="460D4D57"/>
    <w:rsid w:val="469938F6"/>
    <w:rsid w:val="471518F4"/>
    <w:rsid w:val="47407722"/>
    <w:rsid w:val="493D64F1"/>
    <w:rsid w:val="4A5E7DB0"/>
    <w:rsid w:val="4B1879EE"/>
    <w:rsid w:val="4C2F6E91"/>
    <w:rsid w:val="4C3F3C4F"/>
    <w:rsid w:val="4E9B473A"/>
    <w:rsid w:val="513C4631"/>
    <w:rsid w:val="51AC1FE5"/>
    <w:rsid w:val="52004885"/>
    <w:rsid w:val="54213733"/>
    <w:rsid w:val="57B10770"/>
    <w:rsid w:val="5A8D75A7"/>
    <w:rsid w:val="5BA31801"/>
    <w:rsid w:val="5CE93BF4"/>
    <w:rsid w:val="5D9435D8"/>
    <w:rsid w:val="5E801B8A"/>
    <w:rsid w:val="5ECD7994"/>
    <w:rsid w:val="5F0047B7"/>
    <w:rsid w:val="5F58247F"/>
    <w:rsid w:val="5F8E5CD6"/>
    <w:rsid w:val="6010771C"/>
    <w:rsid w:val="60994F63"/>
    <w:rsid w:val="618E5DE8"/>
    <w:rsid w:val="6242647B"/>
    <w:rsid w:val="62B9609B"/>
    <w:rsid w:val="645E0BE9"/>
    <w:rsid w:val="649837FE"/>
    <w:rsid w:val="64AB0FD3"/>
    <w:rsid w:val="656E746E"/>
    <w:rsid w:val="656F1C10"/>
    <w:rsid w:val="658B19D3"/>
    <w:rsid w:val="66705259"/>
    <w:rsid w:val="669069E8"/>
    <w:rsid w:val="67226FE8"/>
    <w:rsid w:val="68441265"/>
    <w:rsid w:val="688D6F0D"/>
    <w:rsid w:val="6970652E"/>
    <w:rsid w:val="6A2A6508"/>
    <w:rsid w:val="6B2A73F3"/>
    <w:rsid w:val="6B9F2C01"/>
    <w:rsid w:val="6BFA4652"/>
    <w:rsid w:val="6CE25ECD"/>
    <w:rsid w:val="6D950682"/>
    <w:rsid w:val="6E3A0B0C"/>
    <w:rsid w:val="6E9640E8"/>
    <w:rsid w:val="70A873E0"/>
    <w:rsid w:val="71F11DC7"/>
    <w:rsid w:val="72706A83"/>
    <w:rsid w:val="72BA191B"/>
    <w:rsid w:val="74E15AC5"/>
    <w:rsid w:val="75CB674E"/>
    <w:rsid w:val="761F67A5"/>
    <w:rsid w:val="76203FA1"/>
    <w:rsid w:val="76541BA8"/>
    <w:rsid w:val="77BA5A89"/>
    <w:rsid w:val="7A1C28CC"/>
    <w:rsid w:val="7A5C59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7"/>
    <w:qFormat/>
    <w:uiPriority w:val="0"/>
    <w:pPr>
      <w:shd w:val="clear" w:color="auto" w:fill="000080"/>
    </w:pPr>
    <w:rPr>
      <w:rFonts w:ascii="Tahoma" w:hAnsi="Tahoma" w:cs="Tahoma"/>
    </w:rPr>
  </w:style>
  <w:style w:type="paragraph" w:styleId="30">
    <w:name w:val="annotation text"/>
    <w:basedOn w:val="1"/>
    <w:link w:val="115"/>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100"/>
    <w:qFormat/>
    <w:uiPriority w:val="0"/>
    <w:pPr>
      <w:jc w:val="center"/>
    </w:pPr>
    <w:rPr>
      <w:i/>
    </w:rPr>
  </w:style>
  <w:style w:type="paragraph" w:styleId="35">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4"/>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4">
    <w:name w:val="annotation subject"/>
    <w:basedOn w:val="30"/>
    <w:next w:val="30"/>
    <w:link w:val="116"/>
    <w:qFormat/>
    <w:uiPriority w:val="0"/>
    <w:rPr>
      <w:b/>
      <w:bCs/>
    </w:rPr>
  </w:style>
  <w:style w:type="table" w:styleId="46">
    <w:name w:val="Table Grid"/>
    <w:basedOn w:val="45"/>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3"/>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3"/>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5"/>
    <w:link w:val="104"/>
    <w:qFormat/>
    <w:uiPriority w:val="0"/>
  </w:style>
  <w:style w:type="paragraph" w:customStyle="1" w:styleId="83">
    <w:name w:val="B2"/>
    <w:basedOn w:val="14"/>
    <w:link w:val="108"/>
    <w:qFormat/>
    <w:uiPriority w:val="0"/>
  </w:style>
  <w:style w:type="paragraph" w:customStyle="1" w:styleId="84">
    <w:name w:val="B3"/>
    <w:basedOn w:val="13"/>
    <w:link w:val="109"/>
    <w:qFormat/>
    <w:uiPriority w:val="0"/>
  </w:style>
  <w:style w:type="paragraph" w:customStyle="1" w:styleId="85">
    <w:name w:val="B4"/>
    <w:basedOn w:val="38"/>
    <w:qFormat/>
    <w:uiPriority w:val="0"/>
  </w:style>
  <w:style w:type="paragraph" w:customStyle="1" w:styleId="86">
    <w:name w:val="B5"/>
    <w:basedOn w:val="3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5"/>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6"/>
    <w:qFormat/>
    <w:uiPriority w:val="0"/>
    <w:rPr>
      <w:rFonts w:ascii="Arial" w:hAnsi="Arial"/>
      <w:sz w:val="24"/>
      <w:lang w:val="en-GB"/>
    </w:rPr>
  </w:style>
  <w:style w:type="character" w:customStyle="1" w:styleId="98">
    <w:name w:val="标题 3 字符"/>
    <w:link w:val="5"/>
    <w:qFormat/>
    <w:uiPriority w:val="0"/>
    <w:rPr>
      <w:rFonts w:ascii="Arial" w:hAnsi="Arial"/>
      <w:sz w:val="28"/>
      <w:lang w:val="en-GB"/>
    </w:rPr>
  </w:style>
  <w:style w:type="character" w:customStyle="1" w:styleId="99">
    <w:name w:val="标题 6 字符"/>
    <w:link w:val="8"/>
    <w:qFormat/>
    <w:uiPriority w:val="0"/>
    <w:rPr>
      <w:rFonts w:ascii="Arial" w:hAnsi="Arial"/>
      <w:lang w:val="en-GB"/>
    </w:rPr>
  </w:style>
  <w:style w:type="character" w:customStyle="1" w:styleId="100">
    <w:name w:val="页脚 字符"/>
    <w:link w:val="34"/>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6"/>
    <w:qFormat/>
    <w:uiPriority w:val="0"/>
    <w:rPr>
      <w:rFonts w:ascii="Times New Roman" w:hAnsi="Times New Roman"/>
      <w:sz w:val="16"/>
      <w:lang w:val="en-GB"/>
    </w:rPr>
  </w:style>
  <w:style w:type="character" w:customStyle="1" w:styleId="115">
    <w:name w:val="批注文字 字符"/>
    <w:link w:val="30"/>
    <w:qFormat/>
    <w:uiPriority w:val="0"/>
    <w:rPr>
      <w:rFonts w:ascii="Times New Roman" w:hAnsi="Times New Roman"/>
      <w:lang w:val="en-GB"/>
    </w:rPr>
  </w:style>
  <w:style w:type="character" w:customStyle="1" w:styleId="116">
    <w:name w:val="批注主题 字符"/>
    <w:link w:val="44"/>
    <w:qFormat/>
    <w:uiPriority w:val="0"/>
    <w:rPr>
      <w:rFonts w:ascii="Times New Roman" w:hAnsi="Times New Roman"/>
      <w:b/>
      <w:bCs/>
      <w:lang w:val="en-GB"/>
    </w:rPr>
  </w:style>
  <w:style w:type="character" w:customStyle="1" w:styleId="117">
    <w:name w:val="文档结构图 字符"/>
    <w:link w:val="29"/>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7"/>
    <w:semiHidden/>
    <w:unhideWhenUsed/>
    <w:qFormat/>
    <w:uiPriority w:val="99"/>
    <w:rPr>
      <w:color w:val="605E5C"/>
      <w:shd w:val="clear" w:color="auto" w:fill="E1DFDD"/>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_Style 2"/>
    <w:basedOn w:val="1"/>
    <w:qFormat/>
    <w:uiPriority w:val="1"/>
    <w:pPr>
      <w:spacing w:after="0" w:line="240" w:lineRule="auto"/>
    </w:pPr>
    <w:rPr>
      <w:rFonts w:eastAsia="Calibri"/>
      <w:lang w:val="en-GB" w:eastAsia="en-GB"/>
    </w:rPr>
  </w:style>
  <w:style w:type="paragraph" w:customStyle="1" w:styleId="123">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4">
    <w:name w:val="TAL + Left:  1 cm"/>
    <w:basedOn w:val="60"/>
    <w:qFormat/>
    <w:uiPriority w:val="0"/>
    <w:pPr>
      <w:overflowPunct w:val="0"/>
      <w:autoSpaceDE w:val="0"/>
      <w:autoSpaceDN w:val="0"/>
      <w:adjustRightInd w:val="0"/>
      <w:ind w:left="567"/>
      <w:textAlignment w:val="baseline"/>
    </w:pPr>
    <w:rPr>
      <w:lang w:eastAsia="en-GB"/>
    </w:rPr>
  </w:style>
  <w:style w:type="paragraph" w:customStyle="1" w:styleId="125">
    <w:name w:val="Source"/>
    <w:basedOn w:val="1"/>
    <w:qFormat/>
    <w:uiPriority w:val="0"/>
    <w:pPr>
      <w:spacing w:after="60"/>
      <w:ind w:left="1985" w:hanging="1985"/>
    </w:pPr>
    <w:rPr>
      <w:rFonts w:ascii="Arial" w:hAnsi="Arial" w:cs="Arial"/>
      <w:b/>
    </w:rPr>
  </w:style>
  <w:style w:type="paragraph" w:customStyle="1" w:styleId="126">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7">
    <w:name w:val="TAL + Left:  050 cm"/>
    <w:basedOn w:val="60"/>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8">
    <w:name w:val="TAL + Left:  0"/>
    <w:basedOn w:val="60"/>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9">
    <w:name w:val="List Paragraph"/>
    <w:basedOn w:val="1"/>
    <w:qFormat/>
    <w:uiPriority w:val="99"/>
    <w:pPr>
      <w:ind w:left="720"/>
      <w:contextualSpacing/>
    </w:pPr>
  </w:style>
  <w:style w:type="character" w:customStyle="1" w:styleId="130">
    <w:name w:val="标题 2 Char"/>
    <w:link w:val="4"/>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2025-08-15T06:10:42Z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B27F1B481A6A416D8C9347D300E19CAF</vt:lpwstr>
  </property>
</Properties>
</file>